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61" w:rsidRPr="009B6083" w:rsidRDefault="00250861">
      <w:pPr>
        <w:pStyle w:val="Default"/>
        <w:rPr>
          <w:rFonts w:ascii="Cambria" w:hAnsi="Cambria" w:cs="Cambria"/>
        </w:rPr>
      </w:pPr>
    </w:p>
    <w:p w:rsidR="00250861" w:rsidRPr="009B6083" w:rsidRDefault="00250861">
      <w:pPr>
        <w:pStyle w:val="Heading2"/>
        <w:ind w:left="7080"/>
        <w:rPr>
          <w:sz w:val="24"/>
          <w:szCs w:val="24"/>
        </w:rPr>
      </w:pPr>
      <w:r w:rsidRPr="009B6083">
        <w:rPr>
          <w:sz w:val="24"/>
          <w:szCs w:val="24"/>
        </w:rPr>
        <w:t>Załącznik II.1</w:t>
      </w:r>
    </w:p>
    <w:p w:rsidR="00250861" w:rsidRPr="009B6083" w:rsidRDefault="00250861">
      <w:pPr>
        <w:pStyle w:val="Heading2"/>
        <w:rPr>
          <w:sz w:val="24"/>
          <w:szCs w:val="24"/>
        </w:rPr>
      </w:pPr>
    </w:p>
    <w:p w:rsidR="00250861" w:rsidRPr="009B6083" w:rsidRDefault="00250861">
      <w:pPr>
        <w:pStyle w:val="Heading2"/>
        <w:rPr>
          <w:color w:val="FF0000"/>
          <w:sz w:val="24"/>
          <w:szCs w:val="24"/>
        </w:rPr>
      </w:pPr>
      <w:r w:rsidRPr="009B6083">
        <w:rPr>
          <w:sz w:val="24"/>
          <w:szCs w:val="24"/>
        </w:rPr>
        <w:t>1.3. Karta modułu/przedmiotu</w:t>
      </w:r>
      <w:r w:rsidRPr="009B6083">
        <w:rPr>
          <w:sz w:val="24"/>
          <w:szCs w:val="24"/>
        </w:rPr>
        <w:tab/>
      </w:r>
      <w:r w:rsidRPr="009B6083">
        <w:rPr>
          <w:sz w:val="24"/>
          <w:szCs w:val="24"/>
        </w:rPr>
        <w:tab/>
      </w:r>
      <w:r w:rsidRPr="009B6083">
        <w:rPr>
          <w:sz w:val="24"/>
          <w:szCs w:val="24"/>
        </w:rPr>
        <w:tab/>
      </w:r>
      <w:r w:rsidRPr="009B6083">
        <w:rPr>
          <w:sz w:val="24"/>
          <w:szCs w:val="24"/>
        </w:rPr>
        <w:tab/>
      </w:r>
      <w:r w:rsidRPr="009B6083">
        <w:rPr>
          <w:sz w:val="24"/>
          <w:szCs w:val="24"/>
        </w:rPr>
        <w:tab/>
      </w:r>
      <w:r w:rsidRPr="009B6083">
        <w:rPr>
          <w:sz w:val="24"/>
          <w:szCs w:val="24"/>
        </w:rPr>
        <w:tab/>
      </w:r>
      <w:r w:rsidRPr="009B6083">
        <w:rPr>
          <w:sz w:val="24"/>
          <w:szCs w:val="24"/>
        </w:rPr>
        <w:tab/>
      </w:r>
    </w:p>
    <w:p w:rsidR="00250861" w:rsidRPr="009B6083" w:rsidRDefault="00250861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250861" w:rsidRPr="009B608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50861" w:rsidRPr="009B6083" w:rsidRDefault="00250861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50861" w:rsidRPr="009B6083" w:rsidRDefault="00250861" w:rsidP="00E9714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BA325C">
              <w:rPr>
                <w:rFonts w:ascii="Cambria" w:hAnsi="Cambria" w:cs="Cambria"/>
                <w:b/>
                <w:bCs/>
                <w:sz w:val="24"/>
                <w:szCs w:val="24"/>
              </w:rPr>
              <w:t>Literatura dla dzieci i młodzieży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250861" w:rsidRPr="009B60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50861" w:rsidRPr="009B6083" w:rsidRDefault="00250861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250861" w:rsidRPr="009B6083" w:rsidRDefault="00250861" w:rsidP="00E157B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Literatura dla dzieci i młodzieży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250861" w:rsidRPr="009B6083">
        <w:trPr>
          <w:cantSplit/>
        </w:trPr>
        <w:tc>
          <w:tcPr>
            <w:tcW w:w="497" w:type="dxa"/>
            <w:vMerge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250861" w:rsidRPr="009B6083" w:rsidRDefault="00250861" w:rsidP="00BA325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250861" w:rsidRPr="009B6083">
        <w:trPr>
          <w:cantSplit/>
        </w:trPr>
        <w:tc>
          <w:tcPr>
            <w:tcW w:w="497" w:type="dxa"/>
            <w:vMerge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250861" w:rsidRPr="009B6083">
        <w:trPr>
          <w:cantSplit/>
        </w:trPr>
        <w:tc>
          <w:tcPr>
            <w:tcW w:w="497" w:type="dxa"/>
            <w:vMerge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 -</w:t>
            </w:r>
          </w:p>
          <w:p w:rsidR="00250861" w:rsidRPr="009B6083" w:rsidRDefault="00250861" w:rsidP="00BA325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nauczycielska</w:t>
            </w:r>
          </w:p>
        </w:tc>
      </w:tr>
      <w:tr w:rsidR="00250861" w:rsidRPr="009B6083">
        <w:trPr>
          <w:cantSplit/>
        </w:trPr>
        <w:tc>
          <w:tcPr>
            <w:tcW w:w="497" w:type="dxa"/>
            <w:vMerge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250861" w:rsidRPr="009B6083" w:rsidRDefault="00250861" w:rsidP="003871B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III /6 </w:t>
            </w:r>
          </w:p>
        </w:tc>
        <w:tc>
          <w:tcPr>
            <w:tcW w:w="3173" w:type="dxa"/>
            <w:gridSpan w:val="3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specjalnościowy</w:t>
            </w:r>
          </w:p>
        </w:tc>
        <w:tc>
          <w:tcPr>
            <w:tcW w:w="3171" w:type="dxa"/>
            <w:gridSpan w:val="3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250861" w:rsidRPr="009B6083">
        <w:trPr>
          <w:cantSplit/>
        </w:trPr>
        <w:tc>
          <w:tcPr>
            <w:tcW w:w="497" w:type="dxa"/>
            <w:vMerge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9B6083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250861" w:rsidRPr="009B608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250861" w:rsidRPr="009B6083" w:rsidRDefault="00250861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50861" w:rsidRPr="009B60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50861" w:rsidRPr="009B6083" w:rsidRDefault="00250861" w:rsidP="009D79B8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250861" w:rsidRPr="009B6083">
        <w:tc>
          <w:tcPr>
            <w:tcW w:w="2988" w:type="dxa"/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50861" w:rsidRPr="009B6083" w:rsidRDefault="00250861" w:rsidP="009D79B8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250861" w:rsidRPr="009B6083">
        <w:tc>
          <w:tcPr>
            <w:tcW w:w="2988" w:type="dxa"/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50861" w:rsidRPr="009B6083" w:rsidRDefault="00250861" w:rsidP="004929BA">
            <w:pPr>
              <w:ind w:left="169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250861" w:rsidRPr="009B6083" w:rsidRDefault="00250861" w:rsidP="004929BA">
            <w:pPr>
              <w:ind w:left="169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Zapoznanie z zagadnieniami genezy i periodyzacji literatury dla dzieci i młodzieży. </w:t>
            </w:r>
          </w:p>
          <w:p w:rsidR="00250861" w:rsidRPr="009B6083" w:rsidRDefault="00250861" w:rsidP="004929BA">
            <w:pPr>
              <w:ind w:left="169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Prezentacja najistotniejszych trendów, tendencji i nurtów artystycznych dominujących w literaturze dla dzieci i młodzieży z uwzględnieniem kontekstu macierzystego epok.</w:t>
            </w:r>
          </w:p>
          <w:p w:rsidR="00250861" w:rsidRPr="009B6083" w:rsidRDefault="00250861" w:rsidP="004929BA">
            <w:pPr>
              <w:ind w:left="169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Zapoznanie z charakterystycznymi wyznacznikami warsztatu poetyckiego i prozatorskiego twórczości dla dzieci i młodzieży. </w:t>
            </w:r>
          </w:p>
          <w:p w:rsidR="00250861" w:rsidRPr="009B6083" w:rsidRDefault="00250861" w:rsidP="004929BA">
            <w:pPr>
              <w:ind w:left="169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Prezentacja najistotniejszych utworów z jednoczesnym wprowadzeniem elementów analizy i interpretacji.</w:t>
            </w:r>
          </w:p>
          <w:p w:rsidR="00250861" w:rsidRPr="009B6083" w:rsidRDefault="00250861" w:rsidP="004929BA">
            <w:pPr>
              <w:ind w:left="169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Kształcenie umiejętności wartościowania tekstów literatury dla dzieci i młodzieży.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50861" w:rsidRPr="009B6083" w:rsidRDefault="00250861" w:rsidP="004929B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50861" w:rsidRPr="009B6083" w:rsidRDefault="00250861" w:rsidP="004929BA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Student powinien posiadać elementarne wiadomości z zakresu historii literatury. Ponadto powinien być wyposażony w podstawową aparaturę pojęciową z zakresu analizy i interpretacji dzieła literackiego.</w:t>
            </w:r>
          </w:p>
          <w:p w:rsidR="00250861" w:rsidRPr="009B6083" w:rsidRDefault="00250861" w:rsidP="004929B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250861" w:rsidRPr="009B6083" w:rsidRDefault="00250861">
      <w:pPr>
        <w:rPr>
          <w:rFonts w:ascii="Cambria" w:hAnsi="Cambria" w:cs="Cambria"/>
          <w:sz w:val="24"/>
          <w:szCs w:val="24"/>
        </w:rPr>
      </w:pPr>
    </w:p>
    <w:p w:rsidR="00250861" w:rsidRPr="009B6083" w:rsidRDefault="00250861">
      <w:pPr>
        <w:rPr>
          <w:rFonts w:ascii="Cambria" w:hAnsi="Cambria" w:cs="Cambria"/>
          <w:sz w:val="24"/>
          <w:szCs w:val="24"/>
        </w:rPr>
      </w:pPr>
    </w:p>
    <w:p w:rsidR="00250861" w:rsidRPr="009B6083" w:rsidRDefault="00250861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60"/>
        <w:gridCol w:w="283"/>
        <w:gridCol w:w="497"/>
        <w:gridCol w:w="5760"/>
        <w:gridCol w:w="400"/>
        <w:gridCol w:w="1400"/>
      </w:tblGrid>
      <w:tr w:rsidR="00250861" w:rsidRPr="009B6083">
        <w:trPr>
          <w:cantSplit/>
        </w:trPr>
        <w:tc>
          <w:tcPr>
            <w:tcW w:w="10008" w:type="dxa"/>
            <w:gridSpan w:val="7"/>
            <w:tcBorders>
              <w:top w:val="single" w:sz="12" w:space="0" w:color="auto"/>
              <w:bottom w:val="nil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250861" w:rsidRPr="009B608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250861" w:rsidRPr="009B6083">
        <w:trPr>
          <w:cantSplit/>
        </w:trPr>
        <w:tc>
          <w:tcPr>
            <w:tcW w:w="908" w:type="dxa"/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250861" w:rsidRPr="009B6083" w:rsidRDefault="00250861" w:rsidP="00F446A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Rozpoznaje i określa miejsce literatury dla dzieci i młodzieży w perspektywie nauk filologicznych.</w:t>
            </w:r>
          </w:p>
        </w:tc>
        <w:tc>
          <w:tcPr>
            <w:tcW w:w="1400" w:type="dxa"/>
            <w:vAlign w:val="center"/>
          </w:tcPr>
          <w:p w:rsidR="00250861" w:rsidRPr="009B6083" w:rsidRDefault="00250861" w:rsidP="00E9714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K_W01</w:t>
            </w:r>
          </w:p>
        </w:tc>
      </w:tr>
      <w:tr w:rsidR="00250861" w:rsidRPr="009B6083">
        <w:trPr>
          <w:cantSplit/>
        </w:trPr>
        <w:tc>
          <w:tcPr>
            <w:tcW w:w="908" w:type="dxa"/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250861" w:rsidRPr="009B6083" w:rsidRDefault="00250861" w:rsidP="00F446A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Rozpoznaje i odtwarza podstawowe pojęcia z zakresu specyfiki rodzajowo-gatunkowej, perspektywy historycznoliterackiej </w:t>
            </w:r>
            <w:r w:rsidRPr="009B6083">
              <w:rPr>
                <w:rFonts w:ascii="Cambria" w:hAnsi="Cambria" w:cs="Cambria"/>
                <w:sz w:val="24"/>
                <w:szCs w:val="24"/>
              </w:rPr>
              <w:br/>
              <w:t>i kulturoznawczej literatury dla dzieci i młodzieży.</w:t>
            </w:r>
          </w:p>
        </w:tc>
        <w:tc>
          <w:tcPr>
            <w:tcW w:w="1400" w:type="dxa"/>
            <w:vAlign w:val="center"/>
          </w:tcPr>
          <w:p w:rsidR="00250861" w:rsidRPr="009B6083" w:rsidRDefault="00250861" w:rsidP="00E9714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250861" w:rsidRPr="009B6083">
        <w:trPr>
          <w:cantSplit/>
        </w:trPr>
        <w:tc>
          <w:tcPr>
            <w:tcW w:w="908" w:type="dxa"/>
            <w:vAlign w:val="center"/>
          </w:tcPr>
          <w:p w:rsidR="00250861" w:rsidRPr="009B6083" w:rsidRDefault="00250861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250861" w:rsidRPr="009B6083" w:rsidRDefault="00250861" w:rsidP="00F446A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Analizuje i interpretuje wybrane dzieła literatury dla dzieci i młodzieży z różnych epok, uwzględniając ich miejsce w procesie historyczno-kulturowym.</w:t>
            </w:r>
          </w:p>
        </w:tc>
        <w:tc>
          <w:tcPr>
            <w:tcW w:w="1400" w:type="dxa"/>
            <w:vAlign w:val="center"/>
          </w:tcPr>
          <w:p w:rsidR="00250861" w:rsidRPr="009B6083" w:rsidRDefault="00250861" w:rsidP="00EE75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250861" w:rsidRPr="009B6083">
        <w:trPr>
          <w:cantSplit/>
        </w:trPr>
        <w:tc>
          <w:tcPr>
            <w:tcW w:w="908" w:type="dxa"/>
            <w:vAlign w:val="center"/>
          </w:tcPr>
          <w:p w:rsidR="00250861" w:rsidRPr="009B6083" w:rsidRDefault="00250861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250861" w:rsidRPr="009B6083" w:rsidRDefault="00250861" w:rsidP="00F446A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Uzasadnia swoje tezy interpretacyjne z przywołaniem poglądów różnych autorów.</w:t>
            </w:r>
          </w:p>
        </w:tc>
        <w:tc>
          <w:tcPr>
            <w:tcW w:w="1400" w:type="dxa"/>
            <w:vAlign w:val="center"/>
          </w:tcPr>
          <w:p w:rsidR="00250861" w:rsidRPr="009B6083" w:rsidRDefault="00250861" w:rsidP="00E9714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K_U08</w:t>
            </w:r>
          </w:p>
        </w:tc>
      </w:tr>
      <w:tr w:rsidR="00250861" w:rsidRPr="009B6083">
        <w:trPr>
          <w:cantSplit/>
        </w:trPr>
        <w:tc>
          <w:tcPr>
            <w:tcW w:w="908" w:type="dxa"/>
            <w:vAlign w:val="center"/>
          </w:tcPr>
          <w:p w:rsidR="00250861" w:rsidRPr="009B6083" w:rsidRDefault="00250861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250861" w:rsidRPr="009B6083" w:rsidRDefault="00250861" w:rsidP="00F446A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Pracuje i współdziała w grupie przyjmując w niej różne role.</w:t>
            </w:r>
          </w:p>
        </w:tc>
        <w:tc>
          <w:tcPr>
            <w:tcW w:w="1400" w:type="dxa"/>
            <w:vAlign w:val="center"/>
          </w:tcPr>
          <w:p w:rsidR="00250861" w:rsidRPr="009B6083" w:rsidRDefault="00250861" w:rsidP="00E9714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250861" w:rsidRPr="009B6083">
        <w:trPr>
          <w:cantSplit/>
        </w:trPr>
        <w:tc>
          <w:tcPr>
            <w:tcW w:w="908" w:type="dxa"/>
            <w:vAlign w:val="center"/>
          </w:tcPr>
          <w:p w:rsidR="00250861" w:rsidRPr="009B6083" w:rsidRDefault="00250861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250861" w:rsidRPr="009B6083" w:rsidRDefault="00250861" w:rsidP="00F446A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Krytycznie weryfikuje i przeformułowuje swoje stanowiska i sądy w zakresie wartościowania literatury dla dzieci i młodzieży.</w:t>
            </w:r>
          </w:p>
        </w:tc>
        <w:tc>
          <w:tcPr>
            <w:tcW w:w="1400" w:type="dxa"/>
            <w:vAlign w:val="center"/>
          </w:tcPr>
          <w:p w:rsidR="00250861" w:rsidRPr="009B6083" w:rsidRDefault="00250861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250861" w:rsidRPr="009B6083">
        <w:trPr>
          <w:cantSplit/>
        </w:trPr>
        <w:tc>
          <w:tcPr>
            <w:tcW w:w="908" w:type="dxa"/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250861" w:rsidRPr="009B6083" w:rsidRDefault="00250861" w:rsidP="00F446A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Rozpoznaje i definiuje literaturę dla dzieci i młodzieży jako element dziedzictwa kulturowego.</w:t>
            </w:r>
          </w:p>
        </w:tc>
        <w:tc>
          <w:tcPr>
            <w:tcW w:w="1400" w:type="dxa"/>
            <w:vAlign w:val="center"/>
          </w:tcPr>
          <w:p w:rsidR="00250861" w:rsidRPr="009B6083" w:rsidRDefault="00250861" w:rsidP="00920A3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K_K08</w:t>
            </w:r>
          </w:p>
        </w:tc>
      </w:tr>
      <w:tr w:rsidR="00250861" w:rsidRPr="009B6083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5"/>
            <w:tcBorders>
              <w:bottom w:val="nil"/>
              <w:right w:val="nil"/>
            </w:tcBorders>
          </w:tcPr>
          <w:p w:rsidR="00250861" w:rsidRPr="009B6083" w:rsidRDefault="00250861" w:rsidP="00F446A9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Redaguje teksty, będące świadectwem uczestnictwa w życiu kulturalnym.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250861" w:rsidRPr="009B6083" w:rsidRDefault="00250861" w:rsidP="009D79B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K_K09</w:t>
            </w:r>
          </w:p>
        </w:tc>
      </w:tr>
      <w:tr w:rsidR="00250861" w:rsidRPr="009B6083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5"/>
            <w:tcBorders>
              <w:bottom w:val="single" w:sz="12" w:space="0" w:color="auto"/>
              <w:right w:val="nil"/>
            </w:tcBorders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250861" w:rsidRPr="009B6083" w:rsidRDefault="0025086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50861" w:rsidRPr="009B6083" w:rsidRDefault="00250861" w:rsidP="00B77ED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Literatura dla dzieci i młodzieży – definicja pojęcia, cechy tej literatury, formy transmisji, podział z uwzględnieniem specyfiki odbiorcy. Miejsce literatury dla dzieci i młodzieży w literaturze ogólnej. Rola literatury w wychowaniu dziecka. Synkretyczny charakter literatury dla dzieci i młodzieży. Cele i cechy literatury dla dzieci i młodzieży w optyce tekstów krytycznych minionych wieków.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Czym jest literatura dziecięca? Charakterystyka, przykłady.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Klementyna z Tańskich Hoffmanowa /podstawowe fakty z życiorysu, działalność piśmiennicza i pedagogiczna, najważniejsze dzieła, charakterystyczne cechy twórczości/.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Stanisław Jachowicz /podstawowe fakty z życiorysu, działalność piśmiennicza i pedagogiczna, najważniejsze dzieła, charakterystyczne cechy twórczości/.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Kryteria oceny utworów dla dzieci. Aspekt poznawczy, kształcący, wychowawczy w utworach epickich adresowanych do dzieci i młodzieży ze szczególnym uwzględnieniem roli bohatera i fabuły.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Czy poeta jest jak dziecko? Cechy poezji dziecięcej. Charakterystyczne chwyty i zabiegi formalne.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Granice podobieństwa (i różnice) literatury dla dorosłych a literatury dziecięcej.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Rodzaje i gatunki literackie w literaturze dziecięcej.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Twórczość dziecięca, folklor dziecięcy. Cechy poezji pisanej przez dzieci.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Baśń, bajka, legenda, mit – charakterystyka gatunkowa. Cechy, rozwój i ewolucja gatunku w literaturze polskiej.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Typologia bajek. Rozmaite koncepcje i tezy na temat genezy bajki. Tradycje staropolskie, oświeceniowe teorie baśni i jej realizacje w twórczości Naruszewicza, Trembeckiego, Kniaźnina, Krasickiego, romantycy jako bajkopisarze – Mickiewicz, Fredro, Słowacki, bajka publicystyczna na przykładzie twórczości doby pozytywizmu, bajka polityczna na przykładzie twórczości Dwudziestolecia międzywojennego, bajka współczesna – kontynuacja i nowatorstwo.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Rola baśni w życiu dziecka. Bajka a baśń. Typologia baśni.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Baśń a literatura fantasy na wybranych przykładach.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Konsekwencje narodzin psychoanalizy i psychologii głębi dla interpretacji baśni. Nieświadomość zbiorowa, archetyp (C. G. Jung) w obrazach baśniowych.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Terapeutyczna rola baśni w ujęciu Brunona Bettelheima. Przykłady baśni folklorystycznych zinterpretowanych z punktu widzenia roli kompensacyjnej.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Formalno-strukturalna koncepcja bajki magicznej w świetle tez artykułu Włodzimierza Proppa „Morfologia bajki”.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Baśń literacka. Próby stworzenia baśni literackiej.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Młodopolski powrót do baśni i legend (B. Leśmian). </w:t>
            </w:r>
          </w:p>
          <w:p w:rsidR="00250861" w:rsidRPr="009B6083" w:rsidRDefault="00250861" w:rsidP="00B77ED6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Świat liryki dziecięcej w poezji J. Kulmowej, D. Wawiłow, J. Ratajczaka, M. Strzałkowskiej i innych. Dziecko jako bohater liryczny.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250861" w:rsidRPr="009B6083" w:rsidRDefault="00250861">
            <w:pPr>
              <w:pStyle w:val="Heading1"/>
              <w:rPr>
                <w:rFonts w:ascii="Cambria" w:hAnsi="Cambria" w:cs="Cambria"/>
              </w:rPr>
            </w:pPr>
            <w:r w:rsidRPr="009B6083">
              <w:rPr>
                <w:rFonts w:ascii="Cambria" w:hAnsi="Cambria" w:cs="Cambria"/>
              </w:rPr>
              <w:t>Laboratorium</w:t>
            </w: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250861" w:rsidRPr="009B6083" w:rsidRDefault="00250861">
            <w:pPr>
              <w:pStyle w:val="Heading1"/>
              <w:rPr>
                <w:rFonts w:ascii="Cambria" w:hAnsi="Cambria" w:cs="Cambria"/>
              </w:rPr>
            </w:pPr>
            <w:r w:rsidRPr="009B6083">
              <w:rPr>
                <w:rFonts w:ascii="Cambria" w:hAnsi="Cambria" w:cs="Cambria"/>
              </w:rPr>
              <w:t>Projekt</w:t>
            </w:r>
          </w:p>
        </w:tc>
      </w:tr>
      <w:tr w:rsidR="00250861" w:rsidRPr="009B608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c>
          <w:tcPr>
            <w:tcW w:w="1668" w:type="dxa"/>
            <w:gridSpan w:val="2"/>
            <w:tcBorders>
              <w:top w:val="single" w:sz="12" w:space="0" w:color="auto"/>
            </w:tcBorders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8340" w:type="dxa"/>
            <w:gridSpan w:val="5"/>
            <w:tcBorders>
              <w:top w:val="single" w:sz="12" w:space="0" w:color="auto"/>
            </w:tcBorders>
          </w:tcPr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1.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  <w:t xml:space="preserve">I. Kaniowska-Lewańska,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Literatura dla dzieci i młodzieży do roku 1864. Zarys monograficzny. Materiały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Warszawa 1983.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2.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  <w:t xml:space="preserve">K. Kuliczkowska,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Literatura dla dzieci i młodzieży w latach 1864-1918. Zarys monograficzny. Materiały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Warszawa 1983.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3.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  <w:t xml:space="preserve">J. Z. Białek,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Literatura dla dzieci i młodzieży w latach 1918-1939. Zarys monograficzny. Materiały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Warszawa 1987.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4.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  <w:t xml:space="preserve">S. Frycie,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Literatura dla dzieci i młodzieży w latach 1945-1970, t. 1(proza), t. 2 (poezja)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Warszawa, 1978.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5.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  <w:t xml:space="preserve">U. Przybyszewska,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Baśnie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, w: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Literatura dla dzieci i młodzieży w procesie wychowania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, Warszawa 1978. 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6.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Nowy słownik literatury dla dzieci i młodzieży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, pod red. K. Kuliczkowskiej i B. Tylickiej, Warszawa 1984. 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7.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  <w:t xml:space="preserve">J. Cieślikowski,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Wielka zabawa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Wrocław 1985.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8.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  <w:t xml:space="preserve">A. Baluch,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Dziecko i świat przedstawiony czyli tajemnice dziecięcej lektury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Warszawa 1987.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9.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Baśń i dziecko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pod red. H. Skrobiszewskiej, Warszawa 1978.</w:t>
            </w:r>
          </w:p>
          <w:p w:rsidR="00250861" w:rsidRPr="009B6083" w:rsidRDefault="00250861" w:rsidP="00AB03A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10.</w:t>
            </w:r>
            <w:r w:rsidRPr="009B6083">
              <w:rPr>
                <w:rFonts w:ascii="Cambria" w:hAnsi="Cambria" w:cs="Cambria"/>
                <w:sz w:val="24"/>
                <w:szCs w:val="24"/>
              </w:rPr>
              <w:tab/>
              <w:t xml:space="preserve">B. Bettelheim,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Cudowne i pożyteczne. O znaczeniach i wartościach baśni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przeł. i przedmową opatrzyła Danuta Daniek, t. 1, 2, Warszawa 1985.</w:t>
            </w:r>
          </w:p>
          <w:p w:rsidR="00250861" w:rsidRPr="009B6083" w:rsidRDefault="00250861" w:rsidP="00F762F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11. Władimir Propp,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Nie tylko bajka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wybór i tł. Danuta Ulicka, Warszawa 2000.</w:t>
            </w:r>
          </w:p>
          <w:p w:rsidR="00250861" w:rsidRPr="009B6083" w:rsidRDefault="00250861" w:rsidP="00F762F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12. Władimir Propp,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Morfologia bajki magicznej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przeł. Paweł Rojek, Kraków 2011.</w:t>
            </w:r>
          </w:p>
          <w:p w:rsidR="00250861" w:rsidRPr="009B6083" w:rsidRDefault="00250861" w:rsidP="00F762F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c>
          <w:tcPr>
            <w:tcW w:w="1668" w:type="dxa"/>
            <w:gridSpan w:val="2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8340" w:type="dxa"/>
            <w:gridSpan w:val="5"/>
          </w:tcPr>
          <w:p w:rsidR="00250861" w:rsidRPr="009B6083" w:rsidRDefault="00250861" w:rsidP="002E4BA8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1.  Philippe Ariés, Historia dzieciństwa. Dziecko i rodzina w dawnych czasach,  przeł. M. Ochab, Gdańsk 1995.</w:t>
            </w:r>
          </w:p>
          <w:p w:rsidR="00250861" w:rsidRPr="009B6083" w:rsidRDefault="00250861" w:rsidP="002E4BA8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2. Alicja Baluch,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Archetypy literatury dziecięcej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Kraków 1992.</w:t>
            </w:r>
          </w:p>
          <w:p w:rsidR="00250861" w:rsidRPr="009B6083" w:rsidRDefault="00250861" w:rsidP="002E4BA8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3. Joanna Papuzińska,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Zatopione królestwo. O polskiej literaturze fantastycznej XX wieku dla dzieci i młodzieży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Warszawa 1989.</w:t>
            </w:r>
          </w:p>
          <w:p w:rsidR="00250861" w:rsidRPr="009B6083" w:rsidRDefault="00250861" w:rsidP="00CF0BE9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4. </w:t>
            </w:r>
            <w:r w:rsidRPr="009B6083">
              <w:rPr>
                <w:rFonts w:ascii="Cambria" w:hAnsi="Cambria" w:cs="Cambria"/>
                <w:i/>
                <w:iCs/>
                <w:sz w:val="24"/>
                <w:szCs w:val="24"/>
              </w:rPr>
              <w:t>W kręgu arcydzieł literatury młodzieżowej</w:t>
            </w:r>
            <w:r w:rsidRPr="009B6083">
              <w:rPr>
                <w:rFonts w:ascii="Cambria" w:hAnsi="Cambria" w:cs="Cambria"/>
                <w:sz w:val="24"/>
                <w:szCs w:val="24"/>
              </w:rPr>
              <w:t>, pod red. Lecha Ludorowskiego, Lublin 1998.</w:t>
            </w:r>
          </w:p>
          <w:p w:rsidR="00250861" w:rsidRPr="009B6083" w:rsidRDefault="00250861" w:rsidP="00CF0BE9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Metody kształcenia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pogadanka, opis, prezentacja multimedialna, praca z tekstem, dyskusja, mapa myśli, schematy wyboru, burza mózgów, praca z obrazami, praca z filmem problemowym, metody TOC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Nr efektu kształcenia przedmiotu</w:t>
            </w:r>
            <w:r w:rsidRPr="009B6083">
              <w:rPr>
                <w:rFonts w:ascii="Cambria" w:hAnsi="Cambria" w:cs="Cambria"/>
                <w:sz w:val="24"/>
                <w:szCs w:val="24"/>
              </w:rPr>
              <w:br/>
            </w: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:rsidR="00250861" w:rsidRPr="009B6083" w:rsidRDefault="00250861" w:rsidP="00F446A9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250861" w:rsidRPr="009B6083" w:rsidRDefault="00250861" w:rsidP="00C17529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06</w:t>
            </w: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250861" w:rsidRPr="009B6083" w:rsidRDefault="00250861" w:rsidP="00F446A9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Praca w grupach i prezentacja efektów pracy</w:t>
            </w:r>
          </w:p>
        </w:tc>
        <w:tc>
          <w:tcPr>
            <w:tcW w:w="1800" w:type="dxa"/>
            <w:gridSpan w:val="2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250861" w:rsidRPr="009B6083" w:rsidRDefault="00250861" w:rsidP="00F446A9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Odpowiedź ustna lub pisemna na wybrane zagadnienia z wykładów i ćwiczeń (ocena) </w:t>
            </w:r>
          </w:p>
        </w:tc>
        <w:tc>
          <w:tcPr>
            <w:tcW w:w="1800" w:type="dxa"/>
            <w:gridSpan w:val="2"/>
          </w:tcPr>
          <w:p w:rsidR="00250861" w:rsidRPr="009B6083" w:rsidRDefault="00250861" w:rsidP="00C17529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02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06</w:t>
            </w: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Recenzja wybranego spektaklu teatralnego, filmu lub książki dla dzieci (ocena)</w:t>
            </w:r>
          </w:p>
        </w:tc>
        <w:tc>
          <w:tcPr>
            <w:tcW w:w="1800" w:type="dxa"/>
            <w:gridSpan w:val="2"/>
          </w:tcPr>
          <w:p w:rsidR="00250861" w:rsidRPr="009B6083" w:rsidRDefault="00250861" w:rsidP="00C17529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07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B6083">
              <w:rPr>
                <w:rFonts w:ascii="Cambria" w:hAnsi="Cambria" w:cs="Cambria"/>
                <w:sz w:val="24"/>
                <w:szCs w:val="24"/>
              </w:rPr>
              <w:t xml:space="preserve"> 08</w:t>
            </w: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95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Forma i warunki zaliczenia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8057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Egzamin – odpowiedź ustna lub pisemna na wybrane zagadnienia z wykładów i ćwiczeń (ocena) – 80%</w:t>
            </w:r>
          </w:p>
          <w:p w:rsidR="00250861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Recenzja wybranego spektaklu teatralnego, filmu lub książki dla dzieci (ocena) – 20%</w:t>
            </w:r>
          </w:p>
          <w:p w:rsidR="00250861" w:rsidRPr="00B768C5" w:rsidRDefault="00250861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B768C5">
              <w:rPr>
                <w:rFonts w:ascii="Cambria" w:hAnsi="Cambria" w:cs="Cambria"/>
                <w:sz w:val="22"/>
                <w:szCs w:val="22"/>
              </w:rPr>
              <w:t>Aktywny udział w zajęciach (według oceny prowadzącego) jest promowany możliwością podwyższenia stopnia końcowego.</w:t>
            </w:r>
          </w:p>
        </w:tc>
      </w:tr>
    </w:tbl>
    <w:p w:rsidR="00250861" w:rsidRPr="009B6083" w:rsidRDefault="00250861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250861" w:rsidRPr="009B6083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50861" w:rsidRPr="009B6083">
        <w:trPr>
          <w:trHeight w:val="263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9B6083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9B6083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250861" w:rsidRPr="009B6083" w:rsidRDefault="00250861" w:rsidP="00F446A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9B6083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250861" w:rsidRPr="009B6083" w:rsidRDefault="00250861" w:rsidP="00F446A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75</w:t>
            </w:r>
          </w:p>
        </w:tc>
      </w:tr>
      <w:tr w:rsidR="00250861" w:rsidRPr="009B6083">
        <w:trPr>
          <w:trHeight w:val="417"/>
        </w:trPr>
        <w:tc>
          <w:tcPr>
            <w:tcW w:w="4723" w:type="dxa"/>
            <w:shd w:val="clear" w:color="auto" w:fill="C0C0C0"/>
          </w:tcPr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250861" w:rsidRPr="009B6083" w:rsidRDefault="0025086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b/>
                <w:bCs/>
                <w:sz w:val="24"/>
                <w:szCs w:val="24"/>
              </w:rPr>
              <w:t>3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  <w:shd w:val="clear" w:color="auto" w:fill="C0C0C0"/>
          </w:tcPr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9B6083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250861" w:rsidRPr="009B6083" w:rsidRDefault="0025086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250861" w:rsidRDefault="00250861" w:rsidP="00F446A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(30+20+15=65)</w:t>
            </w:r>
          </w:p>
          <w:p w:rsidR="00250861" w:rsidRPr="009B6083" w:rsidRDefault="00250861" w:rsidP="00F446A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2,6 ECTS</w:t>
            </w:r>
          </w:p>
        </w:tc>
      </w:tr>
      <w:tr w:rsidR="00250861" w:rsidRPr="009B6083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250861" w:rsidRPr="009B6083" w:rsidRDefault="0025086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9B6083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250861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250861" w:rsidRPr="009B6083" w:rsidRDefault="0025086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 ECTS</w:t>
            </w:r>
          </w:p>
        </w:tc>
      </w:tr>
    </w:tbl>
    <w:p w:rsidR="00250861" w:rsidRPr="009B6083" w:rsidRDefault="00250861" w:rsidP="00FD11FE">
      <w:pPr>
        <w:rPr>
          <w:rFonts w:ascii="Cambria" w:hAnsi="Cambria" w:cs="Cambria"/>
          <w:sz w:val="24"/>
          <w:szCs w:val="24"/>
        </w:rPr>
      </w:pPr>
    </w:p>
    <w:sectPr w:rsidR="00250861" w:rsidRPr="009B6083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61" w:rsidRDefault="00250861">
      <w:r>
        <w:separator/>
      </w:r>
    </w:p>
  </w:endnote>
  <w:endnote w:type="continuationSeparator" w:id="0">
    <w:p w:rsidR="00250861" w:rsidRDefault="00250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61" w:rsidRDefault="002508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0861" w:rsidRDefault="0025086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61" w:rsidRDefault="002508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250861" w:rsidRDefault="0025086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61" w:rsidRDefault="00250861">
      <w:r>
        <w:separator/>
      </w:r>
    </w:p>
  </w:footnote>
  <w:footnote w:type="continuationSeparator" w:id="0">
    <w:p w:rsidR="00250861" w:rsidRDefault="002508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BD0238"/>
    <w:multiLevelType w:val="hybridMultilevel"/>
    <w:tmpl w:val="C09A6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18">
    <w:nsid w:val="7CFD5281"/>
    <w:multiLevelType w:val="hybridMultilevel"/>
    <w:tmpl w:val="843421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7523DE2">
      <w:start w:val="6"/>
      <w:numFmt w:val="decimal"/>
      <w:lvlText w:val="%2."/>
      <w:lvlJc w:val="left"/>
      <w:pPr>
        <w:tabs>
          <w:tab w:val="num" w:pos="1789"/>
        </w:tabs>
        <w:ind w:left="1789" w:hanging="709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6"/>
  </w:num>
  <w:num w:numId="13">
    <w:abstractNumId w:val="11"/>
  </w:num>
  <w:num w:numId="14">
    <w:abstractNumId w:val="3"/>
  </w:num>
  <w:num w:numId="15">
    <w:abstractNumId w:val="15"/>
  </w:num>
  <w:num w:numId="16">
    <w:abstractNumId w:val="7"/>
  </w:num>
  <w:num w:numId="17">
    <w:abstractNumId w:val="17"/>
  </w:num>
  <w:num w:numId="18">
    <w:abstractNumId w:val="18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513CF"/>
    <w:rsid w:val="0007366F"/>
    <w:rsid w:val="000C53DF"/>
    <w:rsid w:val="000F12A6"/>
    <w:rsid w:val="00101002"/>
    <w:rsid w:val="00110D2F"/>
    <w:rsid w:val="001242B1"/>
    <w:rsid w:val="00131752"/>
    <w:rsid w:val="00250861"/>
    <w:rsid w:val="002D2B56"/>
    <w:rsid w:val="002E4BA8"/>
    <w:rsid w:val="00340B51"/>
    <w:rsid w:val="003871B9"/>
    <w:rsid w:val="003C176D"/>
    <w:rsid w:val="003C5EA1"/>
    <w:rsid w:val="00416E18"/>
    <w:rsid w:val="00433D1C"/>
    <w:rsid w:val="0048349D"/>
    <w:rsid w:val="004929BA"/>
    <w:rsid w:val="0049796F"/>
    <w:rsid w:val="004A6F5C"/>
    <w:rsid w:val="004A713C"/>
    <w:rsid w:val="0051518E"/>
    <w:rsid w:val="00521293"/>
    <w:rsid w:val="00554ED9"/>
    <w:rsid w:val="00557822"/>
    <w:rsid w:val="00561E05"/>
    <w:rsid w:val="0057195F"/>
    <w:rsid w:val="00572859"/>
    <w:rsid w:val="00584E2C"/>
    <w:rsid w:val="005D06D0"/>
    <w:rsid w:val="005D3A0B"/>
    <w:rsid w:val="00600974"/>
    <w:rsid w:val="00643087"/>
    <w:rsid w:val="00645FEB"/>
    <w:rsid w:val="006A3824"/>
    <w:rsid w:val="006C14E2"/>
    <w:rsid w:val="006C781A"/>
    <w:rsid w:val="00710036"/>
    <w:rsid w:val="007F0A2C"/>
    <w:rsid w:val="00902481"/>
    <w:rsid w:val="0091276F"/>
    <w:rsid w:val="00920A34"/>
    <w:rsid w:val="0094628A"/>
    <w:rsid w:val="009B6083"/>
    <w:rsid w:val="009D79B8"/>
    <w:rsid w:val="00A44201"/>
    <w:rsid w:val="00AB03A7"/>
    <w:rsid w:val="00AE1657"/>
    <w:rsid w:val="00B36A2F"/>
    <w:rsid w:val="00B40386"/>
    <w:rsid w:val="00B768C5"/>
    <w:rsid w:val="00B77ED6"/>
    <w:rsid w:val="00BA325C"/>
    <w:rsid w:val="00BA4F60"/>
    <w:rsid w:val="00BB5216"/>
    <w:rsid w:val="00C17529"/>
    <w:rsid w:val="00CA7D0A"/>
    <w:rsid w:val="00CC0449"/>
    <w:rsid w:val="00CD20A4"/>
    <w:rsid w:val="00CF0BE9"/>
    <w:rsid w:val="00D51796"/>
    <w:rsid w:val="00D77281"/>
    <w:rsid w:val="00DC4037"/>
    <w:rsid w:val="00DC643E"/>
    <w:rsid w:val="00E01CB6"/>
    <w:rsid w:val="00E157B3"/>
    <w:rsid w:val="00E83BFC"/>
    <w:rsid w:val="00E9714A"/>
    <w:rsid w:val="00EE75D3"/>
    <w:rsid w:val="00F36EF4"/>
    <w:rsid w:val="00F446A9"/>
    <w:rsid w:val="00F45975"/>
    <w:rsid w:val="00F627C4"/>
    <w:rsid w:val="00F762F3"/>
    <w:rsid w:val="00FC7A20"/>
    <w:rsid w:val="00FD11FE"/>
    <w:rsid w:val="00FD6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79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179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179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1796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1796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1796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1796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C6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C6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3C6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3C6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3C6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3C69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D51796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51796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63C69"/>
    <w:rPr>
      <w:sz w:val="20"/>
      <w:szCs w:val="20"/>
    </w:rPr>
  </w:style>
  <w:style w:type="paragraph" w:styleId="NormalWeb">
    <w:name w:val="Normal (Web)"/>
    <w:basedOn w:val="Normal"/>
    <w:uiPriority w:val="99"/>
    <w:rsid w:val="00D51796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D51796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63C69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5179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3C69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51796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363C6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D51796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D517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3C69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D51796"/>
  </w:style>
  <w:style w:type="paragraph" w:styleId="Footer">
    <w:name w:val="footer"/>
    <w:basedOn w:val="Normal"/>
    <w:link w:val="FooterChar"/>
    <w:uiPriority w:val="99"/>
    <w:rsid w:val="00D5179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3C69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D51796"/>
  </w:style>
  <w:style w:type="paragraph" w:styleId="Subtitle">
    <w:name w:val="Subtitle"/>
    <w:basedOn w:val="Normal"/>
    <w:link w:val="SubtitleChar"/>
    <w:uiPriority w:val="99"/>
    <w:qFormat/>
    <w:rsid w:val="00D51796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363C69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D51796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D51796"/>
  </w:style>
  <w:style w:type="character" w:customStyle="1" w:styleId="st">
    <w:name w:val="st"/>
    <w:uiPriority w:val="99"/>
    <w:rsid w:val="00F762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76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1200</Words>
  <Characters>7202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2012-09-19T17:24:00Z</cp:lastPrinted>
  <dcterms:created xsi:type="dcterms:W3CDTF">2012-09-19T17:24:00Z</dcterms:created>
  <dcterms:modified xsi:type="dcterms:W3CDTF">2012-09-19T17:24:00Z</dcterms:modified>
</cp:coreProperties>
</file>